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EC9" w:rsidRDefault="001F2EC9" w:rsidP="001F2EC9">
      <w:pPr>
        <w:spacing w:line="480" w:lineRule="auto"/>
        <w:jc w:val="center"/>
        <w:rPr>
          <w:rFonts w:ascii="Times New Roman" w:hAnsi="Times New Roman" w:cs="Times New Roman"/>
          <w:color w:val="404041"/>
          <w:sz w:val="24"/>
          <w:szCs w:val="24"/>
          <w:shd w:val="clear" w:color="auto" w:fill="FFFFFF"/>
        </w:rPr>
      </w:pPr>
    </w:p>
    <w:p w:rsidR="00E2773A" w:rsidRDefault="00E2773A" w:rsidP="001F2EC9">
      <w:pPr>
        <w:spacing w:line="480" w:lineRule="auto"/>
        <w:jc w:val="center"/>
        <w:rPr>
          <w:rFonts w:ascii="Times New Roman" w:hAnsi="Times New Roman" w:cs="Times New Roman"/>
          <w:color w:val="404041"/>
          <w:sz w:val="24"/>
          <w:szCs w:val="24"/>
          <w:shd w:val="clear" w:color="auto" w:fill="FFFFFF"/>
        </w:rPr>
      </w:pPr>
    </w:p>
    <w:p w:rsidR="00E2773A" w:rsidRDefault="00E2773A" w:rsidP="001F2EC9">
      <w:pPr>
        <w:spacing w:line="480" w:lineRule="auto"/>
        <w:jc w:val="center"/>
        <w:rPr>
          <w:rFonts w:ascii="Times New Roman" w:hAnsi="Times New Roman" w:cs="Times New Roman"/>
          <w:color w:val="404041"/>
          <w:sz w:val="24"/>
          <w:szCs w:val="24"/>
          <w:shd w:val="clear" w:color="auto" w:fill="FFFFFF"/>
        </w:rPr>
      </w:pPr>
    </w:p>
    <w:p w:rsidR="00E2773A" w:rsidRDefault="00E2773A" w:rsidP="001F2EC9">
      <w:pPr>
        <w:spacing w:line="480" w:lineRule="auto"/>
        <w:jc w:val="center"/>
        <w:rPr>
          <w:rFonts w:ascii="Times New Roman" w:hAnsi="Times New Roman" w:cs="Times New Roman"/>
          <w:color w:val="404041"/>
          <w:sz w:val="24"/>
          <w:szCs w:val="24"/>
          <w:shd w:val="clear" w:color="auto" w:fill="FFFFFF"/>
        </w:rPr>
      </w:pPr>
    </w:p>
    <w:p w:rsidR="00E2773A" w:rsidRDefault="00E2773A" w:rsidP="001F2EC9">
      <w:pPr>
        <w:spacing w:line="480" w:lineRule="auto"/>
        <w:jc w:val="center"/>
        <w:rPr>
          <w:rFonts w:ascii="Times New Roman" w:hAnsi="Times New Roman" w:cs="Times New Roman"/>
          <w:color w:val="404041"/>
          <w:sz w:val="24"/>
          <w:szCs w:val="24"/>
          <w:shd w:val="clear" w:color="auto" w:fill="FFFFFF"/>
        </w:rPr>
      </w:pPr>
    </w:p>
    <w:p w:rsidR="00E2773A" w:rsidRDefault="00E2773A" w:rsidP="001F2EC9">
      <w:pPr>
        <w:spacing w:line="480" w:lineRule="auto"/>
        <w:jc w:val="center"/>
        <w:rPr>
          <w:rFonts w:ascii="Times New Roman" w:hAnsi="Times New Roman" w:cs="Times New Roman"/>
          <w:color w:val="404041"/>
          <w:sz w:val="24"/>
          <w:szCs w:val="24"/>
          <w:shd w:val="clear" w:color="auto" w:fill="FFFFFF"/>
        </w:rPr>
      </w:pPr>
    </w:p>
    <w:p w:rsidR="001F2EC9" w:rsidRDefault="00E2773A" w:rsidP="001F2EC9">
      <w:pPr>
        <w:spacing w:line="480" w:lineRule="auto"/>
        <w:jc w:val="center"/>
        <w:rPr>
          <w:rFonts w:ascii="Times New Roman" w:hAnsi="Times New Roman" w:cs="Times New Roman"/>
          <w:color w:val="404041"/>
          <w:sz w:val="24"/>
          <w:szCs w:val="24"/>
          <w:shd w:val="clear" w:color="auto" w:fill="FFFFFF"/>
        </w:rPr>
      </w:pPr>
      <w:r w:rsidRPr="00F7728F">
        <w:rPr>
          <w:rFonts w:ascii="Times New Roman" w:hAnsi="Times New Roman" w:cs="Times New Roman"/>
          <w:color w:val="404041"/>
          <w:sz w:val="24"/>
          <w:szCs w:val="24"/>
          <w:shd w:val="clear" w:color="auto" w:fill="FFFFFF"/>
        </w:rPr>
        <w:t>L</w:t>
      </w:r>
      <w:r>
        <w:rPr>
          <w:rFonts w:ascii="Times New Roman" w:hAnsi="Times New Roman" w:cs="Times New Roman"/>
          <w:color w:val="404041"/>
          <w:sz w:val="24"/>
          <w:szCs w:val="24"/>
          <w:shd w:val="clear" w:color="auto" w:fill="FFFFFF"/>
        </w:rPr>
        <w:t>ifespan Growth and D</w:t>
      </w:r>
      <w:r w:rsidRPr="00F7728F">
        <w:rPr>
          <w:rFonts w:ascii="Times New Roman" w:hAnsi="Times New Roman" w:cs="Times New Roman"/>
          <w:color w:val="404041"/>
          <w:sz w:val="24"/>
          <w:szCs w:val="24"/>
          <w:shd w:val="clear" w:color="auto" w:fill="FFFFFF"/>
        </w:rPr>
        <w:t>evelopment</w:t>
      </w:r>
      <w:r>
        <w:rPr>
          <w:rFonts w:ascii="Times New Roman" w:hAnsi="Times New Roman" w:cs="Times New Roman"/>
          <w:color w:val="404041"/>
          <w:sz w:val="24"/>
          <w:szCs w:val="24"/>
          <w:shd w:val="clear" w:color="auto" w:fill="FFFFFF"/>
        </w:rPr>
        <w:tab/>
      </w:r>
    </w:p>
    <w:p w:rsidR="001F2EC9" w:rsidRDefault="001F2EC9" w:rsidP="001F2EC9">
      <w:pPr>
        <w:spacing w:line="480" w:lineRule="auto"/>
        <w:jc w:val="center"/>
        <w:rPr>
          <w:rFonts w:ascii="Times New Roman" w:hAnsi="Times New Roman" w:cs="Times New Roman"/>
          <w:color w:val="404041"/>
          <w:sz w:val="24"/>
          <w:szCs w:val="24"/>
          <w:shd w:val="clear" w:color="auto" w:fill="FFFFFF"/>
        </w:rPr>
      </w:pPr>
      <w:r>
        <w:rPr>
          <w:rFonts w:ascii="Times New Roman" w:hAnsi="Times New Roman" w:cs="Times New Roman"/>
          <w:color w:val="404041"/>
          <w:sz w:val="24"/>
          <w:szCs w:val="24"/>
          <w:shd w:val="clear" w:color="auto" w:fill="FFFFFF"/>
        </w:rPr>
        <w:t>Name</w:t>
      </w:r>
    </w:p>
    <w:p w:rsidR="001F2EC9" w:rsidRDefault="001F2EC9" w:rsidP="001F2EC9">
      <w:pPr>
        <w:spacing w:line="480" w:lineRule="auto"/>
        <w:jc w:val="center"/>
        <w:rPr>
          <w:rFonts w:ascii="Times New Roman" w:hAnsi="Times New Roman" w:cs="Times New Roman"/>
          <w:color w:val="404041"/>
          <w:sz w:val="24"/>
          <w:szCs w:val="24"/>
          <w:shd w:val="clear" w:color="auto" w:fill="FFFFFF"/>
        </w:rPr>
      </w:pPr>
      <w:r>
        <w:rPr>
          <w:rFonts w:ascii="Times New Roman" w:hAnsi="Times New Roman" w:cs="Times New Roman"/>
          <w:color w:val="404041"/>
          <w:sz w:val="24"/>
          <w:szCs w:val="24"/>
          <w:shd w:val="clear" w:color="auto" w:fill="FFFFFF"/>
        </w:rPr>
        <w:t>Institution</w:t>
      </w:r>
    </w:p>
    <w:p w:rsidR="001F2EC9" w:rsidRPr="00F7728F" w:rsidRDefault="001F2EC9" w:rsidP="001F2EC9">
      <w:pPr>
        <w:spacing w:line="480" w:lineRule="auto"/>
        <w:jc w:val="center"/>
        <w:rPr>
          <w:rFonts w:ascii="Times New Roman" w:hAnsi="Times New Roman" w:cs="Times New Roman"/>
          <w:color w:val="404041"/>
          <w:sz w:val="24"/>
          <w:szCs w:val="24"/>
          <w:shd w:val="clear" w:color="auto" w:fill="FFFFFF"/>
        </w:rPr>
      </w:pPr>
      <w:r>
        <w:rPr>
          <w:rFonts w:ascii="Times New Roman" w:hAnsi="Times New Roman" w:cs="Times New Roman"/>
          <w:color w:val="404041"/>
          <w:sz w:val="24"/>
          <w:szCs w:val="24"/>
          <w:shd w:val="clear" w:color="auto" w:fill="FFFFFF"/>
        </w:rPr>
        <w:t>Date</w:t>
      </w:r>
    </w:p>
    <w:p w:rsidR="001F2EC9" w:rsidRDefault="001F2EC9">
      <w:pPr>
        <w:rPr>
          <w:rFonts w:ascii="Times New Roman" w:hAnsi="Times New Roman" w:cs="Times New Roman"/>
          <w:color w:val="404041"/>
          <w:sz w:val="24"/>
          <w:szCs w:val="24"/>
          <w:shd w:val="clear" w:color="auto" w:fill="FFFFFF"/>
        </w:rPr>
      </w:pPr>
    </w:p>
    <w:p w:rsidR="001F2EC9" w:rsidRDefault="001F2EC9" w:rsidP="00F7728F">
      <w:pPr>
        <w:spacing w:line="480" w:lineRule="auto"/>
        <w:jc w:val="center"/>
        <w:rPr>
          <w:rFonts w:ascii="Times New Roman" w:hAnsi="Times New Roman" w:cs="Times New Roman"/>
          <w:color w:val="404041"/>
          <w:sz w:val="24"/>
          <w:szCs w:val="24"/>
          <w:shd w:val="clear" w:color="auto" w:fill="FFFFFF"/>
        </w:rPr>
      </w:pPr>
    </w:p>
    <w:p w:rsidR="001F2EC9" w:rsidRDefault="001F2EC9">
      <w:pPr>
        <w:rPr>
          <w:rFonts w:ascii="Times New Roman" w:hAnsi="Times New Roman" w:cs="Times New Roman"/>
          <w:color w:val="404041"/>
          <w:sz w:val="24"/>
          <w:szCs w:val="24"/>
          <w:shd w:val="clear" w:color="auto" w:fill="FFFFFF"/>
        </w:rPr>
      </w:pPr>
      <w:r>
        <w:rPr>
          <w:rFonts w:ascii="Times New Roman" w:hAnsi="Times New Roman" w:cs="Times New Roman"/>
          <w:color w:val="404041"/>
          <w:sz w:val="24"/>
          <w:szCs w:val="24"/>
          <w:shd w:val="clear" w:color="auto" w:fill="FFFFFF"/>
        </w:rPr>
        <w:br w:type="page"/>
      </w:r>
    </w:p>
    <w:p w:rsidR="00E2773A" w:rsidRDefault="00E2773A" w:rsidP="00F7728F">
      <w:pPr>
        <w:spacing w:line="480" w:lineRule="auto"/>
        <w:jc w:val="center"/>
        <w:rPr>
          <w:rFonts w:ascii="Times New Roman" w:hAnsi="Times New Roman" w:cs="Times New Roman"/>
          <w:color w:val="404041"/>
          <w:sz w:val="24"/>
          <w:szCs w:val="24"/>
          <w:shd w:val="clear" w:color="auto" w:fill="FFFFFF"/>
        </w:rPr>
      </w:pPr>
      <w:r w:rsidRPr="00F7728F">
        <w:rPr>
          <w:rFonts w:ascii="Times New Roman" w:hAnsi="Times New Roman" w:cs="Times New Roman"/>
          <w:color w:val="404041"/>
          <w:sz w:val="24"/>
          <w:szCs w:val="24"/>
          <w:shd w:val="clear" w:color="auto" w:fill="FFFFFF"/>
        </w:rPr>
        <w:lastRenderedPageBreak/>
        <w:t xml:space="preserve">Lifespan </w:t>
      </w:r>
      <w:r>
        <w:rPr>
          <w:rFonts w:ascii="Times New Roman" w:hAnsi="Times New Roman" w:cs="Times New Roman"/>
          <w:color w:val="404041"/>
          <w:sz w:val="24"/>
          <w:szCs w:val="24"/>
          <w:shd w:val="clear" w:color="auto" w:fill="FFFFFF"/>
        </w:rPr>
        <w:t>Growth and D</w:t>
      </w:r>
      <w:r w:rsidRPr="00F7728F">
        <w:rPr>
          <w:rFonts w:ascii="Times New Roman" w:hAnsi="Times New Roman" w:cs="Times New Roman"/>
          <w:color w:val="404041"/>
          <w:sz w:val="24"/>
          <w:szCs w:val="24"/>
          <w:shd w:val="clear" w:color="auto" w:fill="FFFFFF"/>
        </w:rPr>
        <w:t>evelopment</w:t>
      </w:r>
      <w:r>
        <w:rPr>
          <w:rFonts w:ascii="Times New Roman" w:hAnsi="Times New Roman" w:cs="Times New Roman"/>
          <w:color w:val="404041"/>
          <w:sz w:val="24"/>
          <w:szCs w:val="24"/>
          <w:shd w:val="clear" w:color="auto" w:fill="FFFFFF"/>
        </w:rPr>
        <w:tab/>
      </w:r>
    </w:p>
    <w:p w:rsidR="00971DB2" w:rsidRPr="00E2773A" w:rsidRDefault="00103BD5" w:rsidP="00F7728F">
      <w:pPr>
        <w:spacing w:line="480" w:lineRule="auto"/>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t xml:space="preserve">Causes of </w:t>
      </w:r>
      <w:r w:rsidR="00E2773A" w:rsidRPr="00E2773A">
        <w:rPr>
          <w:rFonts w:ascii="Times New Roman" w:hAnsi="Times New Roman" w:cs="Times New Roman"/>
          <w:b/>
          <w:sz w:val="24"/>
          <w:szCs w:val="24"/>
        </w:rPr>
        <w:t>Emotional Instability among A</w:t>
      </w:r>
      <w:r w:rsidR="000C58CB" w:rsidRPr="00E2773A">
        <w:rPr>
          <w:rFonts w:ascii="Times New Roman" w:hAnsi="Times New Roman" w:cs="Times New Roman"/>
          <w:b/>
          <w:sz w:val="24"/>
          <w:szCs w:val="24"/>
        </w:rPr>
        <w:t xml:space="preserve">dolescents </w:t>
      </w:r>
      <w:r w:rsidRPr="00E2773A">
        <w:rPr>
          <w:rFonts w:ascii="Times New Roman" w:hAnsi="Times New Roman" w:cs="Times New Roman"/>
          <w:b/>
          <w:sz w:val="24"/>
          <w:szCs w:val="24"/>
        </w:rPr>
        <w:t xml:space="preserve">and how it </w:t>
      </w:r>
      <w:r w:rsidR="00E2773A" w:rsidRPr="00E2773A">
        <w:rPr>
          <w:rFonts w:ascii="Times New Roman" w:hAnsi="Times New Roman" w:cs="Times New Roman"/>
          <w:b/>
          <w:color w:val="404041"/>
          <w:sz w:val="24"/>
          <w:szCs w:val="24"/>
          <w:shd w:val="clear" w:color="auto" w:fill="FFFFFF"/>
        </w:rPr>
        <w:t>Influences Lifespan Growth and D</w:t>
      </w:r>
      <w:r w:rsidR="006500A7" w:rsidRPr="00E2773A">
        <w:rPr>
          <w:rFonts w:ascii="Times New Roman" w:hAnsi="Times New Roman" w:cs="Times New Roman"/>
          <w:b/>
          <w:color w:val="404041"/>
          <w:sz w:val="24"/>
          <w:szCs w:val="24"/>
          <w:shd w:val="clear" w:color="auto" w:fill="FFFFFF"/>
        </w:rPr>
        <w:t>evelopment</w:t>
      </w:r>
    </w:p>
    <w:p w:rsidR="001F2EC9" w:rsidRPr="00E2773A" w:rsidRDefault="001F2EC9" w:rsidP="001F2EC9">
      <w:pPr>
        <w:spacing w:line="480" w:lineRule="auto"/>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t>Introduction</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Adolescence is a sensitive phase in biological, psychological and social growth and development between childhood and early adulthood. Hormonal increase, coupled with environmental transitions from elementary to senior high school has a significant impact on the emotional intelligence of adolescents. Emotional intelligence is the ability to perceive, understand, assimilate and control emotions at personal and social settings to promote intellectual and emotional growth. Sometimes changes in emotions like moods could be viewed as natural but sometimes could signify more profound challenges these young people are struggling with. The purpose of this literature review is to determine the causes of emotional instability among adolescents and how it influences lifespan growth and development.</w:t>
      </w:r>
    </w:p>
    <w:p w:rsidR="001F2EC9" w:rsidRPr="00E2773A" w:rsidRDefault="001F2EC9" w:rsidP="009B3AA9">
      <w:pPr>
        <w:spacing w:line="480" w:lineRule="auto"/>
        <w:ind w:firstLine="720"/>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t>Parenting influence</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According to a study conducted by Llorca et al. (2017), the style of parenting has been considered as important in the transmission of prosocial values and behavior. Parental support, as noted by the authors, transmits a strong sense of security and self-worth, psychological well-being, plus other positive influences. Parental guidance helps shape self-control and conformity to social norms among children. The guidelines and rules set and enforced by parents tend to teach acceptable societal and group behavior standards. Different parenting styles have differing impact on the emotional intelligence development among young people depending on the level of parental support and demands. Authoritative parents exhibit high levels of both support and </w:t>
      </w:r>
      <w:r w:rsidRPr="001F2EC9">
        <w:rPr>
          <w:rFonts w:ascii="Times New Roman" w:hAnsi="Times New Roman" w:cs="Times New Roman"/>
          <w:color w:val="404041"/>
          <w:sz w:val="24"/>
          <w:szCs w:val="24"/>
          <w:shd w:val="clear" w:color="auto" w:fill="FFFFFF"/>
        </w:rPr>
        <w:lastRenderedPageBreak/>
        <w:t xml:space="preserve">demands. Such parents are warm, sensitive and nurturing and consistently consider the maturity and age of a child before setting behavior expectations. Children who show a significantly high level of acceptable social behavior have authoritative parents. Authoritarian parents, on the other hand, show low support to children's but demand a lot from them. Moreover, neglectful parents tend to neglect their parental duties by showing little support and setting low demands for their children. </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More studies indicate that negative parenting styles such as extreme permissiveness and excess control are perceived by adolescents as ignorant and negligence to their needs and affect their emotional development Ranta, et al. (2016). Such children tend to have problems with their social behavior or exhibit aggressive behavior. Parent/child relationship, therefore, is critical in predicting child development between early childhood and early adulthood. Children who tend to get along well with parents are less vulnerable to experience aggression, upsetting behavior or get influenced by deviant peers. They show high levels of self-esteem, less personal problems and are more engaged in their school work. Parenting style can be considered as a set of attitudes by a parent towards a child that tends to create an emotional environment (Llorca et al. 2017). The attitudes do not dictate how children should behave in a specific situation; instead, it forms the frame around which behaviours are developed. The attitudes do not teach children aggressive behavior or prosocial behavior which leave children to apply their emotional intelligence in developing social behavior. Prosocial behavior is influenced by parental styles but meditated using emotional intelligence aspects like emotional instability and empathy. </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Empathy in young children is moulded by early life experiences involving interpersonal relationships. Parents and caregivers tend to have a significantly strong influence on emotional development in children to the eternal environment by providing a stimulus for emotions at </w:t>
      </w:r>
      <w:r w:rsidRPr="001F2EC9">
        <w:rPr>
          <w:rFonts w:ascii="Times New Roman" w:hAnsi="Times New Roman" w:cs="Times New Roman"/>
          <w:color w:val="404041"/>
          <w:sz w:val="24"/>
          <w:szCs w:val="24"/>
          <w:shd w:val="clear" w:color="auto" w:fill="FFFFFF"/>
        </w:rPr>
        <w:lastRenderedPageBreak/>
        <w:t xml:space="preserve">specific times, reinforcing and stimulating emotional expressions and responses to variations in child's expressions. Both specific parenting styles and tone of parenting influence the development of sympathy and empathy in young people. According to Ranta et al.. (2016), adolescents portray empathy based on the empathetic feeling they perceive from their parents. Empathy and sympathy play a major role in determining whether children engage in prosocial behavior or aggressive behavior. Evidence shows that empathetic children portray less aggression due to their high emotional sensitivity and ability to assimilate and understand the negative consequences of aggressive behavior to self or and to others.  </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As revealed in the study by Goh &amp; Wilkinson, (2017), lack of proper emotional development can result to impulsive and irritable behavior in children with low self-control and at high risk of externalizing problematic behavior in childhood, adolescence or even adulthood by exhibiting antisocial behavior or breaking the law. Cognitive empathy has a strong negative correlation with delinquency compared to effective empathy at all age groups and all types of offences. Given the existing negative correlation between delinquent behavior and empathy and transgressor behavior in emotional instability, the study evaluated the parenting styles, emotional development and aggressive and prosocial behavior among adolescents who are consistently on the wrong side of the law. The research findings indicated that poor supervision style and parental rejection are the primary indicators of delinquency prediction among adolescents. Poor child monitoring practices are the leading contributors to delinquency among adolescents (Ranta et al. 2016). Parental monitoring entails having knowledge of a child's whereabouts, actively tracking and tracing a child's whereabouts and disclosures by the child and understanding a child's delinquency exposure level.  </w:t>
      </w:r>
    </w:p>
    <w:p w:rsidR="00E2773A" w:rsidRDefault="00E2773A" w:rsidP="009B3AA9">
      <w:pPr>
        <w:spacing w:line="480" w:lineRule="auto"/>
        <w:ind w:firstLine="720"/>
        <w:jc w:val="center"/>
        <w:rPr>
          <w:rFonts w:ascii="Times New Roman" w:hAnsi="Times New Roman" w:cs="Times New Roman"/>
          <w:color w:val="404041"/>
          <w:sz w:val="24"/>
          <w:szCs w:val="24"/>
          <w:shd w:val="clear" w:color="auto" w:fill="FFFFFF"/>
        </w:rPr>
      </w:pPr>
    </w:p>
    <w:p w:rsidR="001F2EC9" w:rsidRPr="00E2773A" w:rsidRDefault="001F2EC9" w:rsidP="009B3AA9">
      <w:pPr>
        <w:spacing w:line="480" w:lineRule="auto"/>
        <w:ind w:firstLine="720"/>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lastRenderedPageBreak/>
        <w:t>Socio-cultural influence</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The need to establish close social relations with peers grows as children develop emotionally. Failure to create intimate friendships at middle childhood to early adolescence results in a failed socioemotional adjustment. A study by Miething et al. (2016) sampled late adolescents and young adults aged between 19 and 23 years. The survey captured data from 772 respondents from a list of self-selected friends of the nominated age group. Gender-specific structural equation model was applied to investigate the quality and psychological well-being of the relationships. According to the findings, the quality of relationship increased as one age from 19 to 23 years while the psychological well-being declined. The study results explain the relationship direction as one age from adolescence to young adults and the psychological well-being. In another study by Jugert, &amp;Feddes,(2017), noted ethnic and cultural diversity to influence the school environment because of inter-ethnic relationships/friendships among school children. Emotional development is also determined and influenced by a child's ability to understand and successfully relate in an ethnically diversified environment. Cross ethnic friendships, for instance in the United States was promoted by the 1954 Supreme Court decision to rule ethnic segregation in schools unconstitutional. Consequently, experts proposed the integration process, to begin with, the elementary schools but not high schools. Several studies were conducted after the integration, and that results were sobering. The results after desegregation indicate that children were still biased in intergroup relations by selecting and preferring the same ethnic interactions. Programs were implemented to promote ethnic integration in schools,  based on the idea that peer influence can result in conforming behavior that can significantly help improve inter-ethnic friendships. Direct inter-ethnic relationships </w:t>
      </w:r>
      <w:r w:rsidRPr="001F2EC9">
        <w:rPr>
          <w:rFonts w:ascii="Times New Roman" w:hAnsi="Times New Roman" w:cs="Times New Roman"/>
          <w:color w:val="404041"/>
          <w:sz w:val="24"/>
          <w:szCs w:val="24"/>
          <w:shd w:val="clear" w:color="auto" w:fill="FFFFFF"/>
        </w:rPr>
        <w:lastRenderedPageBreak/>
        <w:t>remained rare meaning that cross-ethnic contact is important but not good enough to encourage cross-ethnic relations (Jugert, &amp;Feddes, 2017.</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Another factor influencing emotional development and social behavior in children and adolescents is social status Cejudo et al. (2018). Social status can be a product of various sources, for instance, academic achievement. Despite cross ethnicity within a class, high academic achievers from the minority group are more likely to have cross-ethnic relationships than low academic achievers. Students with high social-behavioural characteristic are also likely to have cross-ethnic friends due to popularity among peers. Outgroup oriented adolescents tend to establish a strong network o friendship because of their friendly attitude. Parental support and attitude towards cultural and ethnic diversity play an integral role in influencing decision making when it comes to cross-ethnic relations. Research by Cejudo et al. (2018), evaluated parental attitudes towards ethnicity impacted in how adolescent interact and determines the possibility of, for example, inviting a cross-ethnic friend home for dinner or on a date. Most parents discourage cross-ethnic friendships from protecting the family reputation or religious beliefs. Parents also manage adolescent cross-ethnic relations through intergenerational closure. Intergenerational closure promotes cross-ethnic interactions where the parent of the adolescents are already friends, thereby encouraging cross-ethnic acquaintance from tender age Caputi et al., (2017). Cross-ethnic relations among adolescents offer significant psychological benefits that promote social competence of the child and reduce the possibility of victimization.</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Without positive emotional development, ethnic and cultural differences among adolescents can have devastating effects by creating a family environment and impact negatively on psychological well-being. Adolescents of recently immigrated families face challenges in adapting to the new socio-cultural environment. Moreover, children born in the U.S from </w:t>
      </w:r>
      <w:r w:rsidRPr="001F2EC9">
        <w:rPr>
          <w:rFonts w:ascii="Times New Roman" w:hAnsi="Times New Roman" w:cs="Times New Roman"/>
          <w:color w:val="404041"/>
          <w:sz w:val="24"/>
          <w:szCs w:val="24"/>
          <w:shd w:val="clear" w:color="auto" w:fill="FFFFFF"/>
        </w:rPr>
        <w:lastRenderedPageBreak/>
        <w:t xml:space="preserve">immigrant parents tend to be more culturally adopted than their parents. The lack of cultural understanding by parents can create difficulties for social change, justice and equality. According to Cejudo ET al. (2018), children between four to seven years evaluate outgroup relations positively and are more likely to grow into emotionally all-round adolescents and adults.              </w:t>
      </w:r>
    </w:p>
    <w:p w:rsidR="001F2EC9" w:rsidRPr="00E2773A" w:rsidRDefault="001F2EC9" w:rsidP="009B3AA9">
      <w:pPr>
        <w:spacing w:line="480" w:lineRule="auto"/>
        <w:ind w:firstLine="720"/>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t>The Internet</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Advancement in technology, especially the internet, has dramatically impacted on how adolescents communicate. Research by Van Zalk, (2016), shows that more and more young people are spending a lot of time online, especially on social media. Social media, described by its intensity, frequency and rate by which young people are using to communicate and interact with others is growing in significance among adolescents; they are consistently maintaining relations while establishing new ones frequently using social media. The rate at which adolescents share text and media using WhatsApp, Facebook, Instagram, Twitter, Skype, etc. is fascinating. However, this tendency is consistently reducing the rate at which adolescents communicate face to face with other people. The habit I highly addictive and has been considered by Van Zalk&amp;Tillfors (2017) to hurt socio-cognition understanding and behavior. Addictive online games, photography and shopping have been strongly linked to social media and internet addiction. Compulsive internet use influences cognitive understanding and behavior development and has been linked to social conflicts with self and others. Besides, it is associated with loneliness and depressive symptoms. Excessive online chatting greatly contributes to compulsive internet use and the development of anxiety and discomfort among adolescent when not using the internet.                </w:t>
      </w:r>
    </w:p>
    <w:p w:rsidR="001F2EC9" w:rsidRPr="00E2773A" w:rsidRDefault="001F2EC9" w:rsidP="009B3AA9">
      <w:pPr>
        <w:spacing w:line="480" w:lineRule="auto"/>
        <w:ind w:firstLine="720"/>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t>Emotional instability</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lastRenderedPageBreak/>
        <w:t xml:space="preserve">According to Caputi et al., (2017), late childhood and adolescence represent a critical stage in which social competences and peer relationships play a vital role in the psychological well-being of children. Peer issues and poor social adaptation at this adolescence stage are usually associated with socioemotional and behavioural issues. The behavioural issues include disruptive behavior, aggressiveness, disobedience, delinquency, etc. while socioemotional issues include withdrawal, anxiety and sadness. According to recent studies, childhood and adolescence depressive symptoms tend to be persistent and more common than beliefs held before. Sometimes parents seek diagnostic interventions on depressive symptoms late, thereby critically affecting certain functional areas in children. Most of the depressive symptoms upsurge came at puberty onset, where intense mood disorders in females emerge.     </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Difficulties typically express depressive symptoms in understanding socio-cognitive domains, for example, an inclination to selectively recalling antisocial information or deficiencies in undertaking social tasks or deficiencies in social and inferential reasoning (Baytemir&amp;Yildiz, 2017). Socio-cognitive understanding refers to the ability to read and understand other people's attitudes, beliefs, viewpoints, sentiments, intentions and perspectives to infer and understand the behavior of others and behave appropriately too. Lack of refinement and proper development of these crucial abilities could have detrimental effects on critical aspects of a child's life like academic achievements, social relationships and emotional functioning. Deficiencies in socio-cognitive understanding in adolescents are as a result of social challenges encountered during their childhood and early adolescence years such as peer rejection and loneliness. According to Baytemir&amp;Yildiz (2017), misreading problems may expound during child growth, causing depressive symptoms as children fail to understand other people's </w:t>
      </w:r>
      <w:r w:rsidRPr="001F2EC9">
        <w:rPr>
          <w:rFonts w:ascii="Times New Roman" w:hAnsi="Times New Roman" w:cs="Times New Roman"/>
          <w:color w:val="404041"/>
          <w:sz w:val="24"/>
          <w:szCs w:val="24"/>
          <w:shd w:val="clear" w:color="auto" w:fill="FFFFFF"/>
        </w:rPr>
        <w:lastRenderedPageBreak/>
        <w:t>behavioural intentions. Failure to decipher other people's behavior may lead to the negative interpretation or cognitive distortion, which forces young people to commit attributional errors.</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Children experiencing socio-cognitive deficiencies experience challenges in forming strong social relationships. More so, such children tend to face rejection and isolation or spend most time performing solitary activities or engage less in social activities (Baytemir&amp;Yildiz, 2017). Besides, they show withdrawn attitudes towards friends and family, which may result in the loss of crucial relationships or face difficulties in keeping and establishing new relationships. Consequently, such behavior increases the chances of experiencing loneliness and depressive symptoms among adolescents. </w:t>
      </w:r>
    </w:p>
    <w:p w:rsidR="001F2EC9" w:rsidRP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Gender can be used to further expound on the impact of socio-cognitive understanding on depressive symptoms. Typically, adolescent girls tend to experience considerably higher depression rates than boys. Among the factors that influence high depressive rates in girls to include elevation to reactivity stressors, interpersonal stress exposure, need for peer likeability and a higher focus on affiliation desires compared to boys. Other studies, however, show that girls have a higher socio-cognitive understanding than their peers of the opposite sex by consistently scoring higher during elementary and junior high school years. Low scores in socio-cognitive understanding in girls are attributed to loneliness and in boys is due to peer rejection (Caputi et al., 2017). </w:t>
      </w:r>
      <w:bookmarkStart w:id="0" w:name="_GoBack"/>
      <w:bookmarkEnd w:id="0"/>
    </w:p>
    <w:p w:rsidR="001F2EC9" w:rsidRPr="00E2773A" w:rsidRDefault="001F2EC9" w:rsidP="001F2EC9">
      <w:pPr>
        <w:spacing w:line="480" w:lineRule="auto"/>
        <w:jc w:val="center"/>
        <w:rPr>
          <w:rFonts w:ascii="Times New Roman" w:hAnsi="Times New Roman" w:cs="Times New Roman"/>
          <w:b/>
          <w:color w:val="404041"/>
          <w:sz w:val="24"/>
          <w:szCs w:val="24"/>
          <w:shd w:val="clear" w:color="auto" w:fill="FFFFFF"/>
        </w:rPr>
      </w:pPr>
      <w:r w:rsidRPr="00E2773A">
        <w:rPr>
          <w:rFonts w:ascii="Times New Roman" w:hAnsi="Times New Roman" w:cs="Times New Roman"/>
          <w:b/>
          <w:color w:val="404041"/>
          <w:sz w:val="24"/>
          <w:szCs w:val="24"/>
          <w:shd w:val="clear" w:color="auto" w:fill="FFFFFF"/>
        </w:rPr>
        <w:t>Conclusion</w:t>
      </w:r>
    </w:p>
    <w:p w:rsidR="001F2EC9" w:rsidRDefault="001F2EC9" w:rsidP="009B3AA9">
      <w:pPr>
        <w:spacing w:line="480" w:lineRule="auto"/>
        <w:ind w:firstLine="720"/>
        <w:rPr>
          <w:rFonts w:ascii="Times New Roman" w:hAnsi="Times New Roman" w:cs="Times New Roman"/>
          <w:color w:val="404041"/>
          <w:sz w:val="24"/>
          <w:szCs w:val="24"/>
          <w:shd w:val="clear" w:color="auto" w:fill="FFFFFF"/>
        </w:rPr>
      </w:pPr>
      <w:r w:rsidRPr="001F2EC9">
        <w:rPr>
          <w:rFonts w:ascii="Times New Roman" w:hAnsi="Times New Roman" w:cs="Times New Roman"/>
          <w:color w:val="404041"/>
          <w:sz w:val="24"/>
          <w:szCs w:val="24"/>
          <w:shd w:val="clear" w:color="auto" w:fill="FFFFFF"/>
        </w:rPr>
        <w:t xml:space="preserve">This literature review aimed to determine the causes of emotional instability among adolescents and how it influences lifespan growth and development. Adolescence is a sensitive phase in biological, psychological and social growth and development between childhood and </w:t>
      </w:r>
      <w:r w:rsidRPr="001F2EC9">
        <w:rPr>
          <w:rFonts w:ascii="Times New Roman" w:hAnsi="Times New Roman" w:cs="Times New Roman"/>
          <w:color w:val="404041"/>
          <w:sz w:val="24"/>
          <w:szCs w:val="24"/>
          <w:shd w:val="clear" w:color="auto" w:fill="FFFFFF"/>
        </w:rPr>
        <w:lastRenderedPageBreak/>
        <w:t>early adulthood. According to Caputi et al., (2017), late childhood and adolescence represent a critical stage in which social competences and peer relationships play a vital role in the psychological well-being of children as they grow up. Among the factors identified that influence socio-emotional development in young people include parenting styles, socio-cultural and ethnic factors as well as technological advancements, especially internet usage. Deficiencies in socio-cognitive understanding can negatively affect the ability of adolescents in academic achievements, social relationships and emotional functioning due to social rejection or loneliness.</w:t>
      </w:r>
    </w:p>
    <w:p w:rsidR="001F2EC9" w:rsidRDefault="001F2EC9" w:rsidP="001F2EC9">
      <w:pPr>
        <w:spacing w:line="480" w:lineRule="auto"/>
        <w:jc w:val="center"/>
        <w:rPr>
          <w:rFonts w:ascii="Times New Roman" w:hAnsi="Times New Roman" w:cs="Times New Roman"/>
          <w:color w:val="404041"/>
          <w:sz w:val="24"/>
          <w:szCs w:val="24"/>
          <w:shd w:val="clear" w:color="auto" w:fill="FFFFFF"/>
        </w:rPr>
      </w:pPr>
    </w:p>
    <w:p w:rsidR="001F2EC9" w:rsidRDefault="001F2EC9">
      <w:pPr>
        <w:rPr>
          <w:rFonts w:ascii="Times New Roman" w:hAnsi="Times New Roman" w:cs="Times New Roman"/>
          <w:color w:val="404041"/>
          <w:sz w:val="24"/>
          <w:szCs w:val="24"/>
          <w:shd w:val="clear" w:color="auto" w:fill="FFFFFF"/>
        </w:rPr>
      </w:pPr>
      <w:r>
        <w:rPr>
          <w:rFonts w:ascii="Times New Roman" w:hAnsi="Times New Roman" w:cs="Times New Roman"/>
          <w:color w:val="404041"/>
          <w:sz w:val="24"/>
          <w:szCs w:val="24"/>
          <w:shd w:val="clear" w:color="auto" w:fill="FFFFFF"/>
        </w:rPr>
        <w:br w:type="page"/>
      </w:r>
    </w:p>
    <w:p w:rsidR="006656F5" w:rsidRPr="00F7728F" w:rsidRDefault="00485E66" w:rsidP="001F2EC9">
      <w:pPr>
        <w:spacing w:line="480" w:lineRule="auto"/>
        <w:jc w:val="center"/>
        <w:rPr>
          <w:rFonts w:ascii="Times New Roman" w:hAnsi="Times New Roman" w:cs="Times New Roman"/>
          <w:color w:val="404041"/>
          <w:sz w:val="24"/>
          <w:szCs w:val="24"/>
          <w:shd w:val="clear" w:color="auto" w:fill="FFFFFF"/>
        </w:rPr>
      </w:pPr>
      <w:r w:rsidRPr="00F7728F">
        <w:rPr>
          <w:rFonts w:ascii="Times New Roman" w:hAnsi="Times New Roman" w:cs="Times New Roman"/>
          <w:color w:val="404041"/>
          <w:sz w:val="24"/>
          <w:szCs w:val="24"/>
          <w:shd w:val="clear" w:color="auto" w:fill="FFFFFF"/>
        </w:rPr>
        <w:lastRenderedPageBreak/>
        <w:t>References</w:t>
      </w:r>
    </w:p>
    <w:p w:rsidR="00D61E6F" w:rsidRPr="00F7728F" w:rsidRDefault="00D61E6F"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Baytemir, K., &amp;Yildiz, M. A. (2017).Multiple mediation of loneliness and negative emotions in the relationship between adolescents’ social anxiety and depressive symptoms. </w:t>
      </w:r>
      <w:r w:rsidRPr="00F7728F">
        <w:rPr>
          <w:rFonts w:ascii="Times New Roman" w:hAnsi="Times New Roman" w:cs="Times New Roman"/>
          <w:i/>
          <w:iCs/>
          <w:color w:val="222222"/>
          <w:sz w:val="24"/>
          <w:szCs w:val="24"/>
          <w:shd w:val="clear" w:color="auto" w:fill="FFFFFF"/>
        </w:rPr>
        <w:t>Anales de Psicología/Annals of Psychology</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33</w:t>
      </w:r>
      <w:r w:rsidRPr="00F7728F">
        <w:rPr>
          <w:rFonts w:ascii="Times New Roman" w:hAnsi="Times New Roman" w:cs="Times New Roman"/>
          <w:color w:val="222222"/>
          <w:sz w:val="24"/>
          <w:szCs w:val="24"/>
          <w:shd w:val="clear" w:color="auto" w:fill="FFFFFF"/>
        </w:rPr>
        <w:t>(3), 612-620.</w:t>
      </w:r>
    </w:p>
    <w:p w:rsidR="000C58CB" w:rsidRPr="00F7728F" w:rsidRDefault="000C58CB"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Caputi, M., Pantaleo, G., &amp;Scaini, S. (2017). Do feelings of loneliness mediate the relationship between sociocognitive understanding and depressive symptoms during late childhood and early adolescence?. </w:t>
      </w:r>
      <w:r w:rsidRPr="00F7728F">
        <w:rPr>
          <w:rFonts w:ascii="Times New Roman" w:hAnsi="Times New Roman" w:cs="Times New Roman"/>
          <w:i/>
          <w:iCs/>
          <w:color w:val="222222"/>
          <w:sz w:val="24"/>
          <w:szCs w:val="24"/>
          <w:shd w:val="clear" w:color="auto" w:fill="FFFFFF"/>
        </w:rPr>
        <w:t>The Journal of genetic psychology</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178</w:t>
      </w:r>
      <w:r w:rsidRPr="00F7728F">
        <w:rPr>
          <w:rFonts w:ascii="Times New Roman" w:hAnsi="Times New Roman" w:cs="Times New Roman"/>
          <w:color w:val="222222"/>
          <w:sz w:val="24"/>
          <w:szCs w:val="24"/>
          <w:shd w:val="clear" w:color="auto" w:fill="FFFFFF"/>
        </w:rPr>
        <w:t>(4), 207-216.</w:t>
      </w:r>
    </w:p>
    <w:p w:rsidR="000C58CB" w:rsidRPr="00F7728F" w:rsidRDefault="000C58CB"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Cejudo, J., Rodrigo-Ruiz, D., López-Delgado, M., &amp;Losada, L. (2018).Emotional intelligence and its relationship with levels of social anxiety and stress in adolescents. </w:t>
      </w:r>
      <w:r w:rsidRPr="00F7728F">
        <w:rPr>
          <w:rFonts w:ascii="Times New Roman" w:hAnsi="Times New Roman" w:cs="Times New Roman"/>
          <w:i/>
          <w:iCs/>
          <w:color w:val="222222"/>
          <w:sz w:val="24"/>
          <w:szCs w:val="24"/>
          <w:shd w:val="clear" w:color="auto" w:fill="FFFFFF"/>
        </w:rPr>
        <w:t>International journal of environmental research and public health</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15</w:t>
      </w:r>
      <w:r w:rsidRPr="00F7728F">
        <w:rPr>
          <w:rFonts w:ascii="Times New Roman" w:hAnsi="Times New Roman" w:cs="Times New Roman"/>
          <w:color w:val="222222"/>
          <w:sz w:val="24"/>
          <w:szCs w:val="24"/>
          <w:shd w:val="clear" w:color="auto" w:fill="FFFFFF"/>
        </w:rPr>
        <w:t>(6), 1073.</w:t>
      </w:r>
    </w:p>
    <w:p w:rsidR="000C58CB" w:rsidRPr="00F7728F" w:rsidRDefault="000C58CB"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Goh, Y. L. D., &amp; Wilkinson, R. B. (2017).Attachment strength and relationship expectancies in the prediction of adolescent stress and depression. </w:t>
      </w:r>
      <w:r w:rsidRPr="00F7728F">
        <w:rPr>
          <w:rFonts w:ascii="Times New Roman" w:hAnsi="Times New Roman" w:cs="Times New Roman"/>
          <w:i/>
          <w:iCs/>
          <w:color w:val="222222"/>
          <w:sz w:val="24"/>
          <w:szCs w:val="24"/>
          <w:shd w:val="clear" w:color="auto" w:fill="FFFFFF"/>
        </w:rPr>
        <w:t>The Educational and Developmental Psychologist</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34</w:t>
      </w:r>
      <w:r w:rsidRPr="00F7728F">
        <w:rPr>
          <w:rFonts w:ascii="Times New Roman" w:hAnsi="Times New Roman" w:cs="Times New Roman"/>
          <w:color w:val="222222"/>
          <w:sz w:val="24"/>
          <w:szCs w:val="24"/>
          <w:shd w:val="clear" w:color="auto" w:fill="FFFFFF"/>
        </w:rPr>
        <w:t>(2), 106-123.</w:t>
      </w:r>
    </w:p>
    <w:p w:rsidR="007C7CAB" w:rsidRPr="00F7728F" w:rsidRDefault="007C7CAB"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Jugert, P., &amp;Feddes, A. R. (2017).Children’s and adolescents’ cross-ethnic friendships. </w:t>
      </w:r>
      <w:r w:rsidRPr="00F7728F">
        <w:rPr>
          <w:rFonts w:ascii="Times New Roman" w:hAnsi="Times New Roman" w:cs="Times New Roman"/>
          <w:i/>
          <w:iCs/>
          <w:color w:val="222222"/>
          <w:sz w:val="24"/>
          <w:szCs w:val="24"/>
          <w:shd w:val="clear" w:color="auto" w:fill="FFFFFF"/>
        </w:rPr>
        <w:t>The Wiley-Blackwell handbook of group processes in children and adolescents</w:t>
      </w:r>
      <w:r w:rsidRPr="00F7728F">
        <w:rPr>
          <w:rFonts w:ascii="Times New Roman" w:hAnsi="Times New Roman" w:cs="Times New Roman"/>
          <w:color w:val="222222"/>
          <w:sz w:val="24"/>
          <w:szCs w:val="24"/>
          <w:shd w:val="clear" w:color="auto" w:fill="FFFFFF"/>
        </w:rPr>
        <w:t>, 373-392.</w:t>
      </w:r>
    </w:p>
    <w:p w:rsidR="0001374F" w:rsidRPr="00F7728F" w:rsidRDefault="0001374F"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Llorca, A., Richaud, M. C., &amp;Malonda, E. (2017). Parenting styles, prosocial, and aggressive behavior: The role of emotions in offender and non-offender adolescents. </w:t>
      </w:r>
      <w:r w:rsidRPr="00F7728F">
        <w:rPr>
          <w:rFonts w:ascii="Times New Roman" w:hAnsi="Times New Roman" w:cs="Times New Roman"/>
          <w:i/>
          <w:iCs/>
          <w:color w:val="222222"/>
          <w:sz w:val="24"/>
          <w:szCs w:val="24"/>
          <w:shd w:val="clear" w:color="auto" w:fill="FFFFFF"/>
        </w:rPr>
        <w:t>Frontiers in psychology</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8</w:t>
      </w:r>
      <w:r w:rsidRPr="00F7728F">
        <w:rPr>
          <w:rFonts w:ascii="Times New Roman" w:hAnsi="Times New Roman" w:cs="Times New Roman"/>
          <w:color w:val="222222"/>
          <w:sz w:val="24"/>
          <w:szCs w:val="24"/>
          <w:shd w:val="clear" w:color="auto" w:fill="FFFFFF"/>
        </w:rPr>
        <w:t>, 1246.</w:t>
      </w:r>
    </w:p>
    <w:p w:rsidR="002C1387" w:rsidRPr="00F7728F" w:rsidRDefault="002C1387"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 xml:space="preserve">Miething, A., Almquist, Y. B., Östberg, V., Rostila, M., Edling, C., &amp;Rydgren, J. (2016). Friendship networks and psychological well-being from late adolescence to young </w:t>
      </w:r>
      <w:r w:rsidRPr="00F7728F">
        <w:rPr>
          <w:rFonts w:ascii="Times New Roman" w:hAnsi="Times New Roman" w:cs="Times New Roman"/>
          <w:color w:val="222222"/>
          <w:sz w:val="24"/>
          <w:szCs w:val="24"/>
          <w:shd w:val="clear" w:color="auto" w:fill="FFFFFF"/>
        </w:rPr>
        <w:lastRenderedPageBreak/>
        <w:t>adulthood: a gender-specific structural equation modeling approach. </w:t>
      </w:r>
      <w:r w:rsidRPr="00F7728F">
        <w:rPr>
          <w:rFonts w:ascii="Times New Roman" w:hAnsi="Times New Roman" w:cs="Times New Roman"/>
          <w:i/>
          <w:iCs/>
          <w:color w:val="222222"/>
          <w:sz w:val="24"/>
          <w:szCs w:val="24"/>
          <w:shd w:val="clear" w:color="auto" w:fill="FFFFFF"/>
        </w:rPr>
        <w:t>BMC psychology</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4</w:t>
      </w:r>
      <w:r w:rsidRPr="00F7728F">
        <w:rPr>
          <w:rFonts w:ascii="Times New Roman" w:hAnsi="Times New Roman" w:cs="Times New Roman"/>
          <w:color w:val="222222"/>
          <w:sz w:val="24"/>
          <w:szCs w:val="24"/>
          <w:shd w:val="clear" w:color="auto" w:fill="FFFFFF"/>
        </w:rPr>
        <w:t>(1), 34.</w:t>
      </w:r>
    </w:p>
    <w:p w:rsidR="002C1387" w:rsidRPr="00F7728F" w:rsidRDefault="002C1387"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Ranta, K., La Greca, A. M., Kaltiala-Heino, R., &amp;Marttunen, M. (2016). Social phobia and educational and interpersonal impairments in adolescence: A prospective study. </w:t>
      </w:r>
      <w:r w:rsidRPr="00F7728F">
        <w:rPr>
          <w:rFonts w:ascii="Times New Roman" w:hAnsi="Times New Roman" w:cs="Times New Roman"/>
          <w:i/>
          <w:iCs/>
          <w:color w:val="222222"/>
          <w:sz w:val="24"/>
          <w:szCs w:val="24"/>
          <w:shd w:val="clear" w:color="auto" w:fill="FFFFFF"/>
        </w:rPr>
        <w:t>Child Psychiatry &amp; Human Development</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47</w:t>
      </w:r>
      <w:r w:rsidRPr="00F7728F">
        <w:rPr>
          <w:rFonts w:ascii="Times New Roman" w:hAnsi="Times New Roman" w:cs="Times New Roman"/>
          <w:color w:val="222222"/>
          <w:sz w:val="24"/>
          <w:szCs w:val="24"/>
          <w:shd w:val="clear" w:color="auto" w:fill="FFFFFF"/>
        </w:rPr>
        <w:t>(4), 665-677.</w:t>
      </w:r>
    </w:p>
    <w:p w:rsidR="00D61E6F" w:rsidRPr="00F7728F" w:rsidRDefault="00D61E6F"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Van Zalk, N. (2016). Social anxiety moderates the links between excessive chatting and compulsive Internet use. </w:t>
      </w:r>
      <w:r w:rsidRPr="00F7728F">
        <w:rPr>
          <w:rFonts w:ascii="Times New Roman" w:hAnsi="Times New Roman" w:cs="Times New Roman"/>
          <w:i/>
          <w:iCs/>
          <w:color w:val="222222"/>
          <w:sz w:val="24"/>
          <w:szCs w:val="24"/>
          <w:shd w:val="clear" w:color="auto" w:fill="FFFFFF"/>
        </w:rPr>
        <w:t>Cyberpsychology: Journal of Psychosocial Research on Cyberspace</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10</w:t>
      </w:r>
      <w:r w:rsidRPr="00F7728F">
        <w:rPr>
          <w:rFonts w:ascii="Times New Roman" w:hAnsi="Times New Roman" w:cs="Times New Roman"/>
          <w:color w:val="222222"/>
          <w:sz w:val="24"/>
          <w:szCs w:val="24"/>
          <w:shd w:val="clear" w:color="auto" w:fill="FFFFFF"/>
        </w:rPr>
        <w:t>(3).</w:t>
      </w:r>
    </w:p>
    <w:p w:rsidR="00D61E6F" w:rsidRPr="00F7728F" w:rsidRDefault="00D61E6F" w:rsidP="00F7728F">
      <w:pPr>
        <w:spacing w:line="480" w:lineRule="auto"/>
        <w:ind w:left="720" w:hanging="720"/>
        <w:rPr>
          <w:rFonts w:ascii="Times New Roman" w:hAnsi="Times New Roman" w:cs="Times New Roman"/>
          <w:color w:val="222222"/>
          <w:sz w:val="24"/>
          <w:szCs w:val="24"/>
          <w:shd w:val="clear" w:color="auto" w:fill="FFFFFF"/>
        </w:rPr>
      </w:pPr>
      <w:r w:rsidRPr="00F7728F">
        <w:rPr>
          <w:rFonts w:ascii="Times New Roman" w:hAnsi="Times New Roman" w:cs="Times New Roman"/>
          <w:color w:val="222222"/>
          <w:sz w:val="24"/>
          <w:szCs w:val="24"/>
          <w:shd w:val="clear" w:color="auto" w:fill="FFFFFF"/>
        </w:rPr>
        <w:t>Van Zalk, N., &amp;Tillfors, M. (2017). Co-rumination buffers the link between social anxiety and depressive symptoms in early adolescence. </w:t>
      </w:r>
      <w:r w:rsidRPr="00F7728F">
        <w:rPr>
          <w:rFonts w:ascii="Times New Roman" w:hAnsi="Times New Roman" w:cs="Times New Roman"/>
          <w:i/>
          <w:iCs/>
          <w:color w:val="222222"/>
          <w:sz w:val="24"/>
          <w:szCs w:val="24"/>
          <w:shd w:val="clear" w:color="auto" w:fill="FFFFFF"/>
        </w:rPr>
        <w:t>Child and Adolescent Psychiatry and Mental Health</w:t>
      </w:r>
      <w:r w:rsidRPr="00F7728F">
        <w:rPr>
          <w:rFonts w:ascii="Times New Roman" w:hAnsi="Times New Roman" w:cs="Times New Roman"/>
          <w:color w:val="222222"/>
          <w:sz w:val="24"/>
          <w:szCs w:val="24"/>
          <w:shd w:val="clear" w:color="auto" w:fill="FFFFFF"/>
        </w:rPr>
        <w:t>, </w:t>
      </w:r>
      <w:r w:rsidRPr="00F7728F">
        <w:rPr>
          <w:rFonts w:ascii="Times New Roman" w:hAnsi="Times New Roman" w:cs="Times New Roman"/>
          <w:i/>
          <w:iCs/>
          <w:color w:val="222222"/>
          <w:sz w:val="24"/>
          <w:szCs w:val="24"/>
          <w:shd w:val="clear" w:color="auto" w:fill="FFFFFF"/>
        </w:rPr>
        <w:t>11</w:t>
      </w:r>
      <w:r w:rsidRPr="00F7728F">
        <w:rPr>
          <w:rFonts w:ascii="Times New Roman" w:hAnsi="Times New Roman" w:cs="Times New Roman"/>
          <w:color w:val="222222"/>
          <w:sz w:val="24"/>
          <w:szCs w:val="24"/>
          <w:shd w:val="clear" w:color="auto" w:fill="FFFFFF"/>
        </w:rPr>
        <w:t>(1), 41.</w:t>
      </w:r>
    </w:p>
    <w:sectPr w:rsidR="00D61E6F" w:rsidRPr="00F7728F" w:rsidSect="009B3A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B69" w:rsidRDefault="00AE2B69" w:rsidP="001F2EC9">
      <w:pPr>
        <w:spacing w:after="0" w:line="240" w:lineRule="auto"/>
      </w:pPr>
      <w:r>
        <w:separator/>
      </w:r>
    </w:p>
  </w:endnote>
  <w:endnote w:type="continuationSeparator" w:id="1">
    <w:p w:rsidR="00AE2B69" w:rsidRDefault="00AE2B69" w:rsidP="001F2E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B69" w:rsidRDefault="00AE2B69" w:rsidP="001F2EC9">
      <w:pPr>
        <w:spacing w:after="0" w:line="240" w:lineRule="auto"/>
      </w:pPr>
      <w:r>
        <w:separator/>
      </w:r>
    </w:p>
  </w:footnote>
  <w:footnote w:type="continuationSeparator" w:id="1">
    <w:p w:rsidR="00AE2B69" w:rsidRDefault="00AE2B69" w:rsidP="001F2E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EC9" w:rsidRPr="00E2773A" w:rsidRDefault="000B1902" w:rsidP="000B1902">
    <w:pPr>
      <w:spacing w:line="480" w:lineRule="auto"/>
      <w:rPr>
        <w:rFonts w:ascii="Times New Roman" w:hAnsi="Times New Roman" w:cs="Times New Roman"/>
        <w:sz w:val="24"/>
        <w:szCs w:val="24"/>
      </w:rPr>
    </w:pPr>
    <w:r w:rsidRPr="00E2773A">
      <w:rPr>
        <w:rFonts w:ascii="Times New Roman" w:hAnsi="Times New Roman" w:cs="Times New Roman"/>
        <w:color w:val="404041"/>
        <w:sz w:val="24"/>
        <w:szCs w:val="24"/>
        <w:shd w:val="clear" w:color="auto" w:fill="FFFFFF"/>
      </w:rPr>
      <w:t>LIFESPAN GROWTH AND DEVELOPMENT</w:t>
    </w:r>
    <w:r w:rsidRPr="00E2773A">
      <w:rPr>
        <w:rFonts w:ascii="Times New Roman" w:hAnsi="Times New Roman" w:cs="Times New Roman"/>
        <w:color w:val="404041"/>
        <w:sz w:val="24"/>
        <w:szCs w:val="24"/>
        <w:shd w:val="clear" w:color="auto" w:fill="FFFFFF"/>
      </w:rPr>
      <w:tab/>
    </w:r>
    <w:r w:rsidRPr="00E2773A">
      <w:rPr>
        <w:rFonts w:ascii="Times New Roman" w:hAnsi="Times New Roman" w:cs="Times New Roman"/>
        <w:color w:val="404041"/>
        <w:sz w:val="24"/>
        <w:szCs w:val="24"/>
        <w:shd w:val="clear" w:color="auto" w:fill="FFFFFF"/>
      </w:rPr>
      <w:tab/>
    </w:r>
    <w:r w:rsidRPr="00E2773A">
      <w:rPr>
        <w:rFonts w:ascii="Times New Roman" w:hAnsi="Times New Roman" w:cs="Times New Roman"/>
        <w:color w:val="404041"/>
        <w:sz w:val="24"/>
        <w:szCs w:val="24"/>
        <w:shd w:val="clear" w:color="auto" w:fill="FFFFFF"/>
      </w:rPr>
      <w:tab/>
    </w:r>
    <w:r w:rsidRPr="00E2773A">
      <w:rPr>
        <w:rFonts w:ascii="Times New Roman" w:hAnsi="Times New Roman" w:cs="Times New Roman"/>
        <w:color w:val="404041"/>
        <w:sz w:val="24"/>
        <w:szCs w:val="24"/>
        <w:shd w:val="clear" w:color="auto" w:fill="FFFFFF"/>
      </w:rPr>
      <w:tab/>
    </w:r>
    <w:r w:rsidRPr="00E2773A">
      <w:rPr>
        <w:rFonts w:ascii="Times New Roman" w:hAnsi="Times New Roman" w:cs="Times New Roman"/>
        <w:color w:val="404041"/>
        <w:sz w:val="24"/>
        <w:szCs w:val="24"/>
        <w:shd w:val="clear" w:color="auto" w:fill="FFFFFF"/>
      </w:rPr>
      <w:tab/>
    </w:r>
    <w:r w:rsidRPr="00E2773A">
      <w:rPr>
        <w:rFonts w:ascii="Times New Roman" w:hAnsi="Times New Roman" w:cs="Times New Roman"/>
        <w:color w:val="404041"/>
        <w:sz w:val="24"/>
        <w:szCs w:val="24"/>
        <w:shd w:val="clear" w:color="auto" w:fill="FFFFFF"/>
      </w:rPr>
      <w:tab/>
    </w:r>
    <w:sdt>
      <w:sdtPr>
        <w:rPr>
          <w:rFonts w:ascii="Times New Roman" w:hAnsi="Times New Roman" w:cs="Times New Roman"/>
          <w:sz w:val="24"/>
          <w:szCs w:val="24"/>
        </w:rPr>
        <w:id w:val="17438211"/>
        <w:docPartObj>
          <w:docPartGallery w:val="Page Numbers (Top of Page)"/>
          <w:docPartUnique/>
        </w:docPartObj>
      </w:sdtPr>
      <w:sdtEndPr>
        <w:rPr>
          <w:noProof/>
        </w:rPr>
      </w:sdtEndPr>
      <w:sdtContent>
        <w:r w:rsidR="00407AE6" w:rsidRPr="00E2773A">
          <w:rPr>
            <w:rFonts w:ascii="Times New Roman" w:hAnsi="Times New Roman" w:cs="Times New Roman"/>
            <w:sz w:val="24"/>
            <w:szCs w:val="24"/>
          </w:rPr>
          <w:fldChar w:fldCharType="begin"/>
        </w:r>
        <w:r w:rsidR="001F2EC9" w:rsidRPr="00E2773A">
          <w:rPr>
            <w:rFonts w:ascii="Times New Roman" w:hAnsi="Times New Roman" w:cs="Times New Roman"/>
            <w:sz w:val="24"/>
            <w:szCs w:val="24"/>
          </w:rPr>
          <w:instrText xml:space="preserve"> PAGE   \* MERGEFORMAT </w:instrText>
        </w:r>
        <w:r w:rsidR="00407AE6" w:rsidRPr="00E2773A">
          <w:rPr>
            <w:rFonts w:ascii="Times New Roman" w:hAnsi="Times New Roman" w:cs="Times New Roman"/>
            <w:sz w:val="24"/>
            <w:szCs w:val="24"/>
          </w:rPr>
          <w:fldChar w:fldCharType="separate"/>
        </w:r>
        <w:r w:rsidR="00E2773A">
          <w:rPr>
            <w:rFonts w:ascii="Times New Roman" w:hAnsi="Times New Roman" w:cs="Times New Roman"/>
            <w:noProof/>
            <w:sz w:val="24"/>
            <w:szCs w:val="24"/>
          </w:rPr>
          <w:t>11</w:t>
        </w:r>
        <w:r w:rsidR="00407AE6" w:rsidRPr="00E2773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AA9" w:rsidRPr="00E2773A" w:rsidRDefault="00E2773A" w:rsidP="00E2773A">
    <w:pPr>
      <w:pStyle w:val="Header"/>
      <w:rPr>
        <w:rFonts w:ascii="Times New Roman" w:hAnsi="Times New Roman" w:cs="Times New Roman"/>
        <w:sz w:val="24"/>
        <w:szCs w:val="24"/>
      </w:rPr>
    </w:pPr>
    <w:r w:rsidRPr="00E2773A">
      <w:rPr>
        <w:rFonts w:ascii="Times New Roman" w:hAnsi="Times New Roman" w:cs="Times New Roman"/>
        <w:sz w:val="24"/>
        <w:szCs w:val="24"/>
      </w:rPr>
      <w:t>Running Head:</w:t>
    </w:r>
    <w:r w:rsidRPr="00E2773A">
      <w:rPr>
        <w:rFonts w:ascii="Times New Roman" w:hAnsi="Times New Roman" w:cs="Times New Roman"/>
        <w:color w:val="404041"/>
        <w:sz w:val="24"/>
        <w:szCs w:val="24"/>
        <w:shd w:val="clear" w:color="auto" w:fill="FFFFFF"/>
      </w:rPr>
      <w:t xml:space="preserve"> LIFESPAN GROWTH AND DEVELOPMENT</w:t>
    </w:r>
    <w:r w:rsidRPr="00E2773A">
      <w:rPr>
        <w:rFonts w:ascii="Times New Roman" w:hAnsi="Times New Roman" w:cs="Times New Roman"/>
        <w:color w:val="404041"/>
        <w:sz w:val="24"/>
        <w:szCs w:val="24"/>
        <w:shd w:val="clear" w:color="auto" w:fill="FFFFFF"/>
      </w:rPr>
      <w:tab/>
    </w:r>
    <w:r w:rsidRPr="00E2773A">
      <w:rPr>
        <w:rFonts w:ascii="Times New Roman" w:hAnsi="Times New Roman" w:cs="Times New Roman"/>
        <w:color w:val="404041"/>
        <w:sz w:val="24"/>
        <w:szCs w:val="24"/>
        <w:shd w:val="clear" w:color="auto" w:fill="FFFFFF"/>
      </w:rPr>
      <w:fldChar w:fldCharType="begin"/>
    </w:r>
    <w:r w:rsidRPr="00E2773A">
      <w:rPr>
        <w:rFonts w:ascii="Times New Roman" w:hAnsi="Times New Roman" w:cs="Times New Roman"/>
        <w:color w:val="404041"/>
        <w:sz w:val="24"/>
        <w:szCs w:val="24"/>
        <w:shd w:val="clear" w:color="auto" w:fill="FFFFFF"/>
      </w:rPr>
      <w:instrText xml:space="preserve"> PAGE   \* MERGEFORMAT </w:instrText>
    </w:r>
    <w:r w:rsidRPr="00E2773A">
      <w:rPr>
        <w:rFonts w:ascii="Times New Roman" w:hAnsi="Times New Roman" w:cs="Times New Roman"/>
        <w:color w:val="404041"/>
        <w:sz w:val="24"/>
        <w:szCs w:val="24"/>
        <w:shd w:val="clear" w:color="auto" w:fill="FFFFFF"/>
      </w:rPr>
      <w:fldChar w:fldCharType="separate"/>
    </w:r>
    <w:r>
      <w:rPr>
        <w:rFonts w:ascii="Times New Roman" w:hAnsi="Times New Roman" w:cs="Times New Roman"/>
        <w:noProof/>
        <w:color w:val="404041"/>
        <w:sz w:val="24"/>
        <w:szCs w:val="24"/>
        <w:shd w:val="clear" w:color="auto" w:fill="FFFFFF"/>
      </w:rPr>
      <w:t>1</w:t>
    </w:r>
    <w:r w:rsidRPr="00E2773A">
      <w:rPr>
        <w:rFonts w:ascii="Times New Roman" w:hAnsi="Times New Roman" w:cs="Times New Roman"/>
        <w:color w:val="404041"/>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500A7"/>
    <w:rsid w:val="0001374F"/>
    <w:rsid w:val="000173C5"/>
    <w:rsid w:val="00041881"/>
    <w:rsid w:val="00043017"/>
    <w:rsid w:val="00052C8D"/>
    <w:rsid w:val="0006697B"/>
    <w:rsid w:val="000A745D"/>
    <w:rsid w:val="000B1902"/>
    <w:rsid w:val="000C58CB"/>
    <w:rsid w:val="00103BD5"/>
    <w:rsid w:val="001426C1"/>
    <w:rsid w:val="00146C78"/>
    <w:rsid w:val="00147AFE"/>
    <w:rsid w:val="0018264D"/>
    <w:rsid w:val="00193297"/>
    <w:rsid w:val="001A181B"/>
    <w:rsid w:val="001A25D7"/>
    <w:rsid w:val="001F2EC9"/>
    <w:rsid w:val="00223396"/>
    <w:rsid w:val="00261DF1"/>
    <w:rsid w:val="002B6864"/>
    <w:rsid w:val="002C1387"/>
    <w:rsid w:val="002D0497"/>
    <w:rsid w:val="002F2495"/>
    <w:rsid w:val="00351656"/>
    <w:rsid w:val="003962AE"/>
    <w:rsid w:val="003D16CE"/>
    <w:rsid w:val="003E4164"/>
    <w:rsid w:val="00400012"/>
    <w:rsid w:val="00407AE6"/>
    <w:rsid w:val="00437CEC"/>
    <w:rsid w:val="00463388"/>
    <w:rsid w:val="0047076D"/>
    <w:rsid w:val="00471845"/>
    <w:rsid w:val="00485E66"/>
    <w:rsid w:val="00486343"/>
    <w:rsid w:val="00494748"/>
    <w:rsid w:val="004D1D02"/>
    <w:rsid w:val="004F72C5"/>
    <w:rsid w:val="00515A87"/>
    <w:rsid w:val="00537825"/>
    <w:rsid w:val="00555E8B"/>
    <w:rsid w:val="005869B9"/>
    <w:rsid w:val="00594DF8"/>
    <w:rsid w:val="0060279A"/>
    <w:rsid w:val="0061117C"/>
    <w:rsid w:val="00613377"/>
    <w:rsid w:val="006140D8"/>
    <w:rsid w:val="006500A7"/>
    <w:rsid w:val="00654AC8"/>
    <w:rsid w:val="006641BE"/>
    <w:rsid w:val="006656F5"/>
    <w:rsid w:val="006A5B06"/>
    <w:rsid w:val="006A5C3B"/>
    <w:rsid w:val="006C393A"/>
    <w:rsid w:val="006D3B15"/>
    <w:rsid w:val="006E2755"/>
    <w:rsid w:val="0070201B"/>
    <w:rsid w:val="00712F04"/>
    <w:rsid w:val="00733A7E"/>
    <w:rsid w:val="007533F9"/>
    <w:rsid w:val="00765EBA"/>
    <w:rsid w:val="007C7CAB"/>
    <w:rsid w:val="008051B9"/>
    <w:rsid w:val="008427E2"/>
    <w:rsid w:val="00854218"/>
    <w:rsid w:val="008769DD"/>
    <w:rsid w:val="008B4236"/>
    <w:rsid w:val="008B4766"/>
    <w:rsid w:val="008D1C6C"/>
    <w:rsid w:val="009036EB"/>
    <w:rsid w:val="009104EA"/>
    <w:rsid w:val="00927089"/>
    <w:rsid w:val="00937A1F"/>
    <w:rsid w:val="00946875"/>
    <w:rsid w:val="00971DB2"/>
    <w:rsid w:val="00977F87"/>
    <w:rsid w:val="00983313"/>
    <w:rsid w:val="009A451B"/>
    <w:rsid w:val="009B3AA9"/>
    <w:rsid w:val="009B5312"/>
    <w:rsid w:val="009D6FAB"/>
    <w:rsid w:val="009D70B3"/>
    <w:rsid w:val="00A0059E"/>
    <w:rsid w:val="00A056DC"/>
    <w:rsid w:val="00A062A1"/>
    <w:rsid w:val="00A600DA"/>
    <w:rsid w:val="00A618F6"/>
    <w:rsid w:val="00A623E6"/>
    <w:rsid w:val="00A70BC9"/>
    <w:rsid w:val="00A72A6D"/>
    <w:rsid w:val="00A91665"/>
    <w:rsid w:val="00A97693"/>
    <w:rsid w:val="00AA141D"/>
    <w:rsid w:val="00AA41C8"/>
    <w:rsid w:val="00AD0A17"/>
    <w:rsid w:val="00AE2B69"/>
    <w:rsid w:val="00AE2C18"/>
    <w:rsid w:val="00B055AC"/>
    <w:rsid w:val="00B2589F"/>
    <w:rsid w:val="00B84CA1"/>
    <w:rsid w:val="00BA179B"/>
    <w:rsid w:val="00BE1D4D"/>
    <w:rsid w:val="00BE336B"/>
    <w:rsid w:val="00BE6847"/>
    <w:rsid w:val="00BF4CB4"/>
    <w:rsid w:val="00C27FEE"/>
    <w:rsid w:val="00C61C49"/>
    <w:rsid w:val="00C83495"/>
    <w:rsid w:val="00CA15AB"/>
    <w:rsid w:val="00CC5398"/>
    <w:rsid w:val="00CC6E7A"/>
    <w:rsid w:val="00D35997"/>
    <w:rsid w:val="00D3740B"/>
    <w:rsid w:val="00D427E9"/>
    <w:rsid w:val="00D47412"/>
    <w:rsid w:val="00D55C2B"/>
    <w:rsid w:val="00D61E6F"/>
    <w:rsid w:val="00D769E7"/>
    <w:rsid w:val="00DB601B"/>
    <w:rsid w:val="00DB7559"/>
    <w:rsid w:val="00DD53C4"/>
    <w:rsid w:val="00E1681E"/>
    <w:rsid w:val="00E2642D"/>
    <w:rsid w:val="00E2773A"/>
    <w:rsid w:val="00E73AA3"/>
    <w:rsid w:val="00EB6F53"/>
    <w:rsid w:val="00EC7DDD"/>
    <w:rsid w:val="00F03720"/>
    <w:rsid w:val="00F7728F"/>
    <w:rsid w:val="00F977B5"/>
    <w:rsid w:val="00FA2ED1"/>
    <w:rsid w:val="00FC4736"/>
    <w:rsid w:val="00FD14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A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EC9"/>
  </w:style>
  <w:style w:type="paragraph" w:styleId="Footer">
    <w:name w:val="footer"/>
    <w:basedOn w:val="Normal"/>
    <w:link w:val="FooterChar"/>
    <w:uiPriority w:val="99"/>
    <w:unhideWhenUsed/>
    <w:rsid w:val="001F2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EC9"/>
  </w:style>
  <w:style w:type="paragraph" w:styleId="BalloonText">
    <w:name w:val="Balloon Text"/>
    <w:basedOn w:val="Normal"/>
    <w:link w:val="BalloonTextChar"/>
    <w:uiPriority w:val="99"/>
    <w:semiHidden/>
    <w:unhideWhenUsed/>
    <w:rsid w:val="00E277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7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EC9"/>
  </w:style>
  <w:style w:type="paragraph" w:styleId="Footer">
    <w:name w:val="footer"/>
    <w:basedOn w:val="Normal"/>
    <w:link w:val="FooterChar"/>
    <w:uiPriority w:val="99"/>
    <w:unhideWhenUsed/>
    <w:rsid w:val="001F2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EC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12F19"/>
    <w:rsid w:val="00212F19"/>
    <w:rsid w:val="00BA3A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7E3EA8BA9F46AE9C8B967279E0DD67">
    <w:name w:val="427E3EA8BA9F46AE9C8B967279E0DD67"/>
    <w:rsid w:val="00212F1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2755</Words>
  <Characters>15706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2019-11-24T12:07:00Z</dcterms:created>
  <dcterms:modified xsi:type="dcterms:W3CDTF">2019-11-24T12:07:00Z</dcterms:modified>
</cp:coreProperties>
</file>